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B" w:rsidRDefault="00DF458B" w:rsidP="00DF458B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F458B" w:rsidRPr="007F4392" w:rsidRDefault="00DF458B" w:rsidP="00DF458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>решением Совета</w:t>
      </w:r>
    </w:p>
    <w:p w:rsidR="00DF458B" w:rsidRPr="007F4392" w:rsidRDefault="00DF458B" w:rsidP="00DF458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>СРО «СОЮЗАТОМПРОЕКТ»</w:t>
      </w:r>
    </w:p>
    <w:p w:rsidR="00DF458B" w:rsidRPr="007F4392" w:rsidRDefault="00DF458B" w:rsidP="00DF458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7F4392">
        <w:rPr>
          <w:rFonts w:ascii="Times New Roman" w:hAnsi="Times New Roman"/>
          <w:sz w:val="24"/>
          <w:szCs w:val="24"/>
        </w:rPr>
        <w:t xml:space="preserve">Протокол № </w:t>
      </w:r>
      <w:r w:rsidRPr="007F4392">
        <w:rPr>
          <w:rStyle w:val="aa"/>
          <w:rFonts w:ascii="Times New Roman" w:hAnsi="Times New Roman"/>
          <w:b w:val="0"/>
          <w:sz w:val="24"/>
          <w:szCs w:val="24"/>
        </w:rPr>
        <w:t xml:space="preserve">22/08-2017 </w:t>
      </w:r>
      <w:r>
        <w:rPr>
          <w:rFonts w:ascii="Times New Roman" w:hAnsi="Times New Roman"/>
          <w:sz w:val="24"/>
          <w:szCs w:val="24"/>
        </w:rPr>
        <w:t>от «18» августа 2017г;</w:t>
      </w:r>
    </w:p>
    <w:p w:rsidR="00DF458B" w:rsidRDefault="00DF458B" w:rsidP="00DF458B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изменениями, утвержденными </w:t>
      </w:r>
    </w:p>
    <w:p w:rsidR="00DF458B" w:rsidRPr="0044389E" w:rsidRDefault="00DF458B" w:rsidP="00DF458B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  <w:r w:rsidR="005962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СРО СОЮЗАТОМ</w:t>
      </w: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57807" w:rsidRPr="0044389E" w:rsidRDefault="00DF458B" w:rsidP="00DF458B">
      <w:pPr>
        <w:spacing w:after="0" w:line="240" w:lineRule="auto"/>
        <w:ind w:left="4678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Протокол №</w:t>
      </w:r>
      <w:r w:rsidR="00D027B6">
        <w:rPr>
          <w:rFonts w:ascii="Times New Roman" w:hAnsi="Times New Roman"/>
          <w:color w:val="000000" w:themeColor="text1"/>
          <w:sz w:val="24"/>
          <w:szCs w:val="24"/>
        </w:rPr>
        <w:t xml:space="preserve">06/02-2018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443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</w:t>
      </w:r>
      <w:r>
        <w:rPr>
          <w:rFonts w:ascii="Times New Roman" w:hAnsi="Times New Roman"/>
          <w:color w:val="000000" w:themeColor="text1"/>
          <w:sz w:val="24"/>
          <w:szCs w:val="24"/>
        </w:rPr>
        <w:t>018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D027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6172" w:rsidRPr="0044389E" w:rsidRDefault="00206172" w:rsidP="00286FFB">
      <w:pPr>
        <w:spacing w:after="0"/>
        <w:ind w:left="4678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286FFB">
      <w:pPr>
        <w:spacing w:after="0" w:line="240" w:lineRule="auto"/>
        <w:ind w:left="4678" w:right="-2" w:firstLine="708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4E4AE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7E54B1"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исциплинарной к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омиссии)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5962E2" w:rsidRDefault="005962E2" w:rsidP="0044389E">
      <w:pPr>
        <w:pStyle w:val="a3"/>
        <w:jc w:val="center"/>
        <w:rPr>
          <w:color w:val="000000" w:themeColor="text1"/>
        </w:rPr>
      </w:pPr>
    </w:p>
    <w:p w:rsidR="0044389E" w:rsidRDefault="0044389E" w:rsidP="0044389E">
      <w:pPr>
        <w:pStyle w:val="a3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Москва</w:t>
      </w:r>
    </w:p>
    <w:p w:rsidR="00286FFB" w:rsidRDefault="003E3293" w:rsidP="00286FFB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>2018</w:t>
      </w:r>
      <w:r w:rsidR="005962E2">
        <w:rPr>
          <w:color w:val="000000" w:themeColor="text1"/>
        </w:rPr>
        <w:t xml:space="preserve"> </w:t>
      </w:r>
      <w:r w:rsidR="0044389E">
        <w:rPr>
          <w:color w:val="000000" w:themeColor="text1"/>
        </w:rPr>
        <w:t>г.</w:t>
      </w:r>
    </w:p>
    <w:p w:rsidR="006477F5" w:rsidRPr="001A4F07" w:rsidRDefault="006477F5" w:rsidP="005962E2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5962E2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4F07">
        <w:rPr>
          <w:rFonts w:ascii="Times New Roman" w:hAnsi="Times New Roman"/>
          <w:sz w:val="24"/>
          <w:szCs w:val="24"/>
        </w:rPr>
        <w:t xml:space="preserve">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="00857807">
        <w:rPr>
          <w:rFonts w:ascii="Times New Roman" w:hAnsi="Times New Roman"/>
          <w:sz w:val="24"/>
          <w:szCs w:val="24"/>
        </w:rPr>
        <w:t>«СОЮЗАТОМ</w:t>
      </w:r>
      <w:r w:rsidR="00DF458B">
        <w:rPr>
          <w:rFonts w:ascii="Times New Roman" w:hAnsi="Times New Roman"/>
          <w:sz w:val="24"/>
          <w:szCs w:val="24"/>
        </w:rPr>
        <w:t>ПРОЕКТ</w:t>
      </w:r>
      <w:r w:rsidR="00531B23">
        <w:rPr>
          <w:rFonts w:ascii="Times New Roman" w:hAnsi="Times New Roman"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  <w:proofErr w:type="gramEnd"/>
    </w:p>
    <w:p w:rsidR="006477F5" w:rsidRPr="001A4F07" w:rsidRDefault="006477F5" w:rsidP="005962E2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 xml:space="preserve">линарного воздействия (далее –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>).</w:t>
      </w:r>
    </w:p>
    <w:p w:rsidR="006477F5" w:rsidRPr="001A4F07" w:rsidRDefault="006477F5" w:rsidP="005962E2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Ассоциации рассматривает жалобы и дела </w:t>
      </w:r>
      <w:r w:rsidR="005962E2">
        <w:rPr>
          <w:rFonts w:ascii="Times New Roman" w:hAnsi="Times New Roman"/>
          <w:sz w:val="24"/>
          <w:szCs w:val="24"/>
        </w:rPr>
        <w:t xml:space="preserve">                             </w:t>
      </w:r>
      <w:r w:rsidR="009211AC" w:rsidRPr="001A4F07">
        <w:rPr>
          <w:rFonts w:ascii="Times New Roman" w:hAnsi="Times New Roman"/>
          <w:sz w:val="24"/>
          <w:szCs w:val="24"/>
        </w:rPr>
        <w:t>о применении в отношении членов Ассоциации мер дисциплинарного воздействия в соответствии с порядком, установленным  внутренними документами Ассоциации, в том числе, настоящим Положением, а также Положением о мерах дисциплинарного воздействия.</w:t>
      </w:r>
    </w:p>
    <w:p w:rsidR="006477F5" w:rsidRDefault="006477F5" w:rsidP="005962E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5962E2" w:rsidRPr="001A4F07" w:rsidRDefault="005962E2" w:rsidP="005962E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5962E2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>исциплинарной комиссии</w:t>
      </w:r>
    </w:p>
    <w:p w:rsidR="006477F5" w:rsidRPr="001A4F07" w:rsidRDefault="009211AC" w:rsidP="005962E2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4E4AE0">
        <w:rPr>
          <w:rFonts w:ascii="Times New Roman" w:hAnsi="Times New Roman"/>
          <w:sz w:val="24"/>
          <w:szCs w:val="24"/>
          <w:lang w:eastAsia="ru-RU"/>
        </w:rPr>
        <w:t>Дисциплинарная комиссия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2.2.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7943C3">
        <w:rPr>
          <w:rFonts w:ascii="Times New Roman" w:hAnsi="Times New Roman"/>
          <w:sz w:val="24"/>
          <w:szCs w:val="24"/>
        </w:rPr>
        <w:t xml:space="preserve">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5962E2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7943C3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9211AC" w:rsidRPr="001A4F07">
        <w:rPr>
          <w:rFonts w:ascii="Times New Roman" w:hAnsi="Times New Roman"/>
          <w:sz w:val="24"/>
          <w:szCs w:val="24"/>
        </w:rPr>
        <w:t xml:space="preserve"> осуществляет свою деятельность в</w:t>
      </w:r>
      <w:r w:rsidR="00317084">
        <w:rPr>
          <w:rFonts w:ascii="Times New Roman" w:hAnsi="Times New Roman"/>
          <w:sz w:val="24"/>
          <w:szCs w:val="24"/>
        </w:rPr>
        <w:t>о</w:t>
      </w:r>
      <w:r w:rsidR="009211AC" w:rsidRPr="001A4F07">
        <w:rPr>
          <w:rFonts w:ascii="Times New Roman" w:hAnsi="Times New Roman"/>
          <w:sz w:val="24"/>
          <w:szCs w:val="24"/>
        </w:rPr>
        <w:t xml:space="preserve"> взаимодействии со </w:t>
      </w:r>
      <w:r w:rsidR="0033412C">
        <w:rPr>
          <w:rFonts w:ascii="Times New Roman" w:hAnsi="Times New Roman"/>
          <w:sz w:val="24"/>
          <w:szCs w:val="24"/>
        </w:rPr>
        <w:t>с</w:t>
      </w:r>
      <w:r w:rsidR="009211AC" w:rsidRPr="001A4F07">
        <w:rPr>
          <w:rFonts w:ascii="Times New Roman" w:hAnsi="Times New Roman"/>
          <w:sz w:val="24"/>
          <w:szCs w:val="24"/>
        </w:rPr>
        <w:t xml:space="preserve">пециализированным органом по </w:t>
      </w:r>
      <w:proofErr w:type="gramStart"/>
      <w:r w:rsidR="009211AC" w:rsidRPr="001A4F0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9211AC" w:rsidRPr="001A4F07">
        <w:rPr>
          <w:rFonts w:ascii="Times New Roman" w:hAnsi="Times New Roman"/>
          <w:sz w:val="24"/>
          <w:szCs w:val="24"/>
        </w:rPr>
        <w:t xml:space="preserve"> деятельнос</w:t>
      </w:r>
      <w:r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33412C">
        <w:rPr>
          <w:rFonts w:ascii="Times New Roman" w:hAnsi="Times New Roman"/>
          <w:sz w:val="24"/>
          <w:szCs w:val="24"/>
        </w:rPr>
        <w:t>Контрольной комиссией) и Советом Ассоциации.</w:t>
      </w:r>
    </w:p>
    <w:p w:rsidR="001A4F07" w:rsidRPr="001A4F07" w:rsidRDefault="001A4F07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5962E2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33412C">
        <w:rPr>
          <w:rFonts w:ascii="Times New Roman" w:hAnsi="Times New Roman"/>
          <w:b/>
          <w:sz w:val="24"/>
          <w:szCs w:val="24"/>
        </w:rPr>
        <w:t>Д</w:t>
      </w:r>
      <w:r w:rsidR="0035312D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6477F5" w:rsidRPr="001A4F07" w:rsidRDefault="006477F5" w:rsidP="005962E2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5962E2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E9218D">
        <w:rPr>
          <w:rFonts w:ascii="Times New Roman" w:hAnsi="Times New Roman"/>
          <w:bCs/>
          <w:sz w:val="24"/>
          <w:szCs w:val="24"/>
          <w:lang w:eastAsia="ru-RU"/>
        </w:rPr>
        <w:t>исциплинарной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5962E2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33412C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комиссии);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 xml:space="preserve"> Ассоциации;</w:t>
      </w:r>
    </w:p>
    <w:p w:rsidR="00F4641A" w:rsidRPr="001A4F07" w:rsidRDefault="00F4641A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законодательством Российской Федерации и внутренними документами Ассоциации.</w:t>
      </w:r>
    </w:p>
    <w:p w:rsidR="00AB41AF" w:rsidRPr="001A4F07" w:rsidRDefault="006477F5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810FB9">
        <w:rPr>
          <w:rFonts w:ascii="Times New Roman" w:hAnsi="Times New Roman"/>
          <w:sz w:val="24"/>
          <w:szCs w:val="24"/>
        </w:rPr>
        <w:t xml:space="preserve">представлению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1A4F0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810FB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Дисциплинарной  комиссии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063BB" w:rsidRPr="001A4F07" w:rsidRDefault="00AB41AF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Дисциплинарной 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 обеспечивает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5962E2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5962E2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3F507E" w:rsidRPr="001A4F07">
        <w:rPr>
          <w:rFonts w:ascii="Times New Roman" w:hAnsi="Times New Roman"/>
          <w:sz w:val="24"/>
          <w:szCs w:val="24"/>
        </w:rPr>
        <w:t xml:space="preserve">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33412C">
        <w:rPr>
          <w:rFonts w:ascii="Times New Roman" w:hAnsi="Times New Roman"/>
          <w:bCs/>
          <w:sz w:val="24"/>
          <w:szCs w:val="24"/>
          <w:lang w:eastAsia="ru-RU"/>
        </w:rPr>
        <w:t>Дисциплинарной  комиссии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5962E2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5962E2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Компетенция </w:t>
      </w:r>
      <w:r w:rsidR="0033412C">
        <w:rPr>
          <w:rFonts w:ascii="Times New Roman" w:hAnsi="Times New Roman"/>
          <w:b/>
          <w:sz w:val="24"/>
          <w:szCs w:val="24"/>
        </w:rPr>
        <w:t>Дисциплинарной  комиссии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Ассоциации мер дисциплинарного воздействия, которые сформированы по итогам контрольных мероприятий </w:t>
      </w:r>
      <w:r w:rsidRPr="001A4F07">
        <w:rPr>
          <w:rFonts w:ascii="Times New Roman" w:hAnsi="Times New Roman"/>
          <w:sz w:val="24"/>
          <w:szCs w:val="24"/>
          <w:lang w:eastAsia="ru-RU"/>
        </w:rPr>
        <w:lastRenderedPageBreak/>
        <w:t>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5962E2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33412C">
        <w:rPr>
          <w:rFonts w:ascii="Times New Roman" w:hAnsi="Times New Roman" w:cs="Times New Roman"/>
          <w:sz w:val="24"/>
          <w:szCs w:val="24"/>
        </w:rPr>
        <w:t>Дисциплинарной 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</w:t>
      </w:r>
      <w:proofErr w:type="gramStart"/>
      <w:r w:rsidR="007943C3">
        <w:rPr>
          <w:rFonts w:ascii="Times New Roman" w:hAnsi="Times New Roman"/>
          <w:sz w:val="24"/>
          <w:szCs w:val="24"/>
        </w:rPr>
        <w:t>рамках</w:t>
      </w:r>
      <w:proofErr w:type="gramEnd"/>
      <w:r w:rsidR="007943C3">
        <w:rPr>
          <w:rFonts w:ascii="Times New Roman" w:hAnsi="Times New Roman"/>
          <w:sz w:val="24"/>
          <w:szCs w:val="24"/>
        </w:rPr>
        <w:t xml:space="preserve"> указанных функций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Pr="001A4F07">
        <w:rPr>
          <w:rFonts w:ascii="Times New Roman" w:hAnsi="Times New Roman"/>
          <w:sz w:val="24"/>
          <w:szCs w:val="24"/>
        </w:rPr>
        <w:t xml:space="preserve">: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A4F07">
        <w:rPr>
          <w:rFonts w:ascii="Times New Roman" w:hAnsi="Times New Roman"/>
          <w:sz w:val="24"/>
          <w:szCs w:val="24"/>
        </w:rPr>
        <w:t xml:space="preserve"> на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>лиц Ассоциации, представителей 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33412C">
        <w:rPr>
          <w:rFonts w:ascii="Times New Roman" w:hAnsi="Times New Roman"/>
          <w:sz w:val="24"/>
          <w:szCs w:val="24"/>
        </w:rPr>
        <w:t>, представителей</w:t>
      </w:r>
      <w:r w:rsidRPr="001A4F07">
        <w:rPr>
          <w:rFonts w:ascii="Times New Roman" w:hAnsi="Times New Roman"/>
          <w:sz w:val="24"/>
          <w:szCs w:val="24"/>
        </w:rPr>
        <w:t xml:space="preserve"> членов Ассоциации, в отношении которых рассматривается дело или жалоба; 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Default="00AB41AF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sz w:val="24"/>
          <w:szCs w:val="24"/>
        </w:rPr>
        <w:t>.</w:t>
      </w:r>
    </w:p>
    <w:p w:rsidR="00515414" w:rsidRPr="001A4F07" w:rsidRDefault="00515414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AC6B20" w:rsidP="005962E2">
      <w:pPr>
        <w:pStyle w:val="a7"/>
        <w:spacing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 xml:space="preserve">. Порядок работы </w:t>
      </w:r>
      <w:r w:rsidR="0033412C">
        <w:rPr>
          <w:rFonts w:ascii="Times New Roman" w:hAnsi="Times New Roman"/>
          <w:b/>
          <w:sz w:val="24"/>
          <w:szCs w:val="24"/>
        </w:rPr>
        <w:t>Дисциплинарной  комиссии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.1. Работа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осуществляется в форме проведения заседаний.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.2. Заседания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проводятся по мере необходимости</w:t>
      </w:r>
      <w:r w:rsidR="00260725" w:rsidRPr="001A4F07">
        <w:rPr>
          <w:rFonts w:ascii="Times New Roman" w:hAnsi="Times New Roman"/>
          <w:sz w:val="24"/>
          <w:szCs w:val="24"/>
        </w:rPr>
        <w:t>, как правило</w:t>
      </w:r>
      <w:r w:rsidR="004A4228" w:rsidRPr="001A4F07">
        <w:rPr>
          <w:rFonts w:ascii="Times New Roman" w:hAnsi="Times New Roman"/>
          <w:sz w:val="24"/>
          <w:szCs w:val="24"/>
        </w:rPr>
        <w:t>,</w:t>
      </w:r>
      <w:r w:rsidR="00260725" w:rsidRPr="001A4F07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4A4228" w:rsidRPr="001A4F07">
        <w:rPr>
          <w:rFonts w:ascii="Times New Roman" w:hAnsi="Times New Roman"/>
          <w:sz w:val="24"/>
          <w:szCs w:val="24"/>
        </w:rPr>
        <w:t xml:space="preserve">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>поступления в 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члену Ассоциации меры  дисциплинарного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lastRenderedPageBreak/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правомочно, если в нём принимает участие более половины её членов.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</w:t>
      </w:r>
      <w:proofErr w:type="gramStart"/>
      <w:r w:rsidR="007943C3">
        <w:rPr>
          <w:rFonts w:ascii="Times New Roman" w:hAnsi="Times New Roman"/>
          <w:sz w:val="24"/>
          <w:szCs w:val="24"/>
        </w:rPr>
        <w:t>случае</w:t>
      </w:r>
      <w:proofErr w:type="gramEnd"/>
      <w:r w:rsidR="007943C3">
        <w:rPr>
          <w:rFonts w:ascii="Times New Roman" w:hAnsi="Times New Roman"/>
          <w:sz w:val="24"/>
          <w:szCs w:val="24"/>
        </w:rPr>
        <w:t xml:space="preserve"> если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принимает мотивированное решение  о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4E4AE0">
        <w:rPr>
          <w:rFonts w:ascii="Times New Roman" w:hAnsi="Times New Roman"/>
          <w:sz w:val="24"/>
          <w:szCs w:val="24"/>
        </w:rPr>
        <w:t>Дисциплинарная комиссия</w:t>
      </w:r>
      <w:r w:rsidR="00AB41AF" w:rsidRPr="001A4F07">
        <w:rPr>
          <w:rFonts w:ascii="Times New Roman" w:hAnsi="Times New Roman"/>
          <w:sz w:val="24"/>
          <w:szCs w:val="24"/>
        </w:rPr>
        <w:t xml:space="preserve"> возвращает материалы </w:t>
      </w:r>
      <w:r w:rsidR="007943C3">
        <w:rPr>
          <w:rFonts w:ascii="Times New Roman" w:hAnsi="Times New Roman"/>
          <w:sz w:val="24"/>
          <w:szCs w:val="24"/>
        </w:rPr>
        <w:t xml:space="preserve">дисциплинарного производства в </w:t>
      </w:r>
      <w:r w:rsidR="0033412C">
        <w:rPr>
          <w:rFonts w:ascii="Times New Roman" w:hAnsi="Times New Roman"/>
          <w:sz w:val="24"/>
          <w:szCs w:val="24"/>
        </w:rPr>
        <w:t>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>направляется члену Ассоциации, в отношении которого рассматривалось дело</w:t>
      </w:r>
      <w:r w:rsidR="00CB40F7">
        <w:rPr>
          <w:rFonts w:ascii="Times New Roman" w:hAnsi="Times New Roman"/>
          <w:sz w:val="24"/>
          <w:szCs w:val="24"/>
        </w:rPr>
        <w:t xml:space="preserve">,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>
        <w:rPr>
          <w:rFonts w:ascii="Times New Roman" w:hAnsi="Times New Roman"/>
          <w:sz w:val="24"/>
          <w:szCs w:val="24"/>
        </w:rPr>
        <w:t>в установленном внутренними документами порядке.</w:t>
      </w:r>
    </w:p>
    <w:p w:rsidR="00AB41AF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B41AF" w:rsidRPr="001A4F07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5962E2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Default="00B81940" w:rsidP="005962E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  <w:r w:rsidR="0033412C">
        <w:rPr>
          <w:rFonts w:ascii="Times New Roman" w:hAnsi="Times New Roman"/>
          <w:b/>
          <w:sz w:val="24"/>
          <w:szCs w:val="24"/>
        </w:rPr>
        <w:t>Дисциплинарной  комиссии</w:t>
      </w:r>
      <w:r w:rsidR="00AC6B20" w:rsidRPr="001A4F07">
        <w:rPr>
          <w:rFonts w:ascii="Times New Roman" w:hAnsi="Times New Roman"/>
          <w:b/>
          <w:sz w:val="24"/>
          <w:szCs w:val="24"/>
        </w:rPr>
        <w:t>, принятых решений</w:t>
      </w:r>
    </w:p>
    <w:p w:rsidR="005962E2" w:rsidRPr="001A4F07" w:rsidRDefault="005962E2" w:rsidP="005962E2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6B20" w:rsidRPr="001A4F07" w:rsidRDefault="00B8194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Pr="001A4F07" w:rsidRDefault="00B8194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41680B">
        <w:rPr>
          <w:rFonts w:ascii="Times New Roman" w:hAnsi="Times New Roman"/>
          <w:sz w:val="24"/>
          <w:szCs w:val="24"/>
        </w:rPr>
        <w:t xml:space="preserve">йствие)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C6B20" w:rsidRPr="001A4F07">
        <w:rPr>
          <w:rFonts w:ascii="Times New Roman" w:hAnsi="Times New Roman"/>
          <w:sz w:val="24"/>
          <w:szCs w:val="24"/>
        </w:rPr>
        <w:t>, а также содержать аргументированные доводы заявителя жалобы.</w:t>
      </w:r>
    </w:p>
    <w:p w:rsidR="00AC6B20" w:rsidRDefault="00B81940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.3.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3412C">
        <w:rPr>
          <w:rFonts w:ascii="Times New Roman" w:hAnsi="Times New Roman"/>
          <w:sz w:val="24"/>
          <w:szCs w:val="24"/>
        </w:rPr>
        <w:t>Дисциплинарной  комиссии</w:t>
      </w:r>
      <w:r w:rsidR="00AC6B20" w:rsidRPr="001A4F07">
        <w:rPr>
          <w:rFonts w:ascii="Times New Roman" w:hAnsi="Times New Roman"/>
          <w:sz w:val="24"/>
          <w:szCs w:val="24"/>
        </w:rPr>
        <w:t xml:space="preserve"> составляет не более двадцати календарных дней.</w:t>
      </w:r>
    </w:p>
    <w:p w:rsidR="005962E2" w:rsidRDefault="005962E2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0F9" w:rsidRDefault="00AB41AF" w:rsidP="005962E2">
      <w:pPr>
        <w:spacing w:before="120" w:after="12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proofErr w:type="gramStart"/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</w:t>
      </w:r>
      <w:r w:rsidR="0041680B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членами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D40F9" w:rsidRPr="001A4F07" w:rsidRDefault="003D40F9" w:rsidP="005962E2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33412C">
        <w:rPr>
          <w:rFonts w:ascii="Times New Roman" w:hAnsi="Times New Roman"/>
          <w:color w:val="000000"/>
          <w:sz w:val="24"/>
          <w:szCs w:val="24"/>
        </w:rPr>
        <w:t xml:space="preserve">Дисциплинарной  </w:t>
      </w:r>
      <w:proofErr w:type="gramStart"/>
      <w:r w:rsidR="0033412C"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 w:rsidRPr="001A4F07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33412C">
        <w:rPr>
          <w:rFonts w:ascii="Times New Roman" w:hAnsi="Times New Roman"/>
          <w:color w:val="000000"/>
          <w:sz w:val="24"/>
          <w:szCs w:val="24"/>
        </w:rPr>
        <w:t>Дисциплинарной  комиссии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</w:p>
    <w:p w:rsidR="003D40F9" w:rsidRPr="001A4F07" w:rsidRDefault="003D40F9" w:rsidP="005962E2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5962E2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5962E2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2E2" w:rsidRPr="001A4F07" w:rsidRDefault="005962E2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962E2">
        <w:rPr>
          <w:rFonts w:ascii="Times New Roman" w:hAnsi="Times New Roman"/>
          <w:sz w:val="24"/>
          <w:szCs w:val="24"/>
        </w:rPr>
        <w:t>8.1. Решения об утверждении, о внесении изменений, о признании настоящего Положения утра</w:t>
      </w:r>
      <w:r w:rsidR="00195B76">
        <w:rPr>
          <w:rFonts w:ascii="Times New Roman" w:hAnsi="Times New Roman"/>
          <w:sz w:val="24"/>
          <w:szCs w:val="24"/>
        </w:rPr>
        <w:t>тившим силу вступают в действие</w:t>
      </w:r>
      <w:r w:rsidRPr="005962E2">
        <w:rPr>
          <w:rFonts w:ascii="Times New Roman" w:hAnsi="Times New Roman"/>
          <w:sz w:val="24"/>
          <w:szCs w:val="24"/>
        </w:rPr>
        <w:t xml:space="preserve"> </w:t>
      </w:r>
      <w:r w:rsidR="00195B76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5962E2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5962E2" w:rsidRPr="001A4F07" w:rsidSect="00B81940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3" w:rsidRDefault="00616A43">
      <w:r>
        <w:separator/>
      </w:r>
    </w:p>
  </w:endnote>
  <w:endnote w:type="continuationSeparator" w:id="0">
    <w:p w:rsidR="00616A43" w:rsidRDefault="0061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2" w:rsidRDefault="00A15F81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2" w:rsidRDefault="00A15F81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7B6">
      <w:rPr>
        <w:rStyle w:val="a5"/>
        <w:noProof/>
      </w:rPr>
      <w:t>2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3" w:rsidRDefault="00616A43">
      <w:r>
        <w:separator/>
      </w:r>
    </w:p>
  </w:footnote>
  <w:footnote w:type="continuationSeparator" w:id="0">
    <w:p w:rsidR="00616A43" w:rsidRDefault="0061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C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D250F"/>
    <w:rsid w:val="000D60DF"/>
    <w:rsid w:val="000F2348"/>
    <w:rsid w:val="000F29B0"/>
    <w:rsid w:val="000F4AC6"/>
    <w:rsid w:val="001063BB"/>
    <w:rsid w:val="001138FC"/>
    <w:rsid w:val="0011629C"/>
    <w:rsid w:val="00130714"/>
    <w:rsid w:val="00162352"/>
    <w:rsid w:val="00177269"/>
    <w:rsid w:val="00182081"/>
    <w:rsid w:val="00193E2A"/>
    <w:rsid w:val="00195B76"/>
    <w:rsid w:val="00196C43"/>
    <w:rsid w:val="001A4F07"/>
    <w:rsid w:val="001B1D8A"/>
    <w:rsid w:val="001B371F"/>
    <w:rsid w:val="001B5144"/>
    <w:rsid w:val="00206172"/>
    <w:rsid w:val="00213BE0"/>
    <w:rsid w:val="002264D0"/>
    <w:rsid w:val="0023647E"/>
    <w:rsid w:val="002459DA"/>
    <w:rsid w:val="002533E0"/>
    <w:rsid w:val="0025706E"/>
    <w:rsid w:val="00260725"/>
    <w:rsid w:val="00261542"/>
    <w:rsid w:val="00285101"/>
    <w:rsid w:val="00286FFB"/>
    <w:rsid w:val="002906D9"/>
    <w:rsid w:val="002A2536"/>
    <w:rsid w:val="002B1902"/>
    <w:rsid w:val="002B5CF7"/>
    <w:rsid w:val="002D7E38"/>
    <w:rsid w:val="002E6019"/>
    <w:rsid w:val="002F7578"/>
    <w:rsid w:val="002F79C5"/>
    <w:rsid w:val="003067D1"/>
    <w:rsid w:val="003150FE"/>
    <w:rsid w:val="00317084"/>
    <w:rsid w:val="0033079E"/>
    <w:rsid w:val="0033225E"/>
    <w:rsid w:val="0033412C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349B"/>
    <w:rsid w:val="00383F6A"/>
    <w:rsid w:val="00385E0B"/>
    <w:rsid w:val="00392DE8"/>
    <w:rsid w:val="00394FF8"/>
    <w:rsid w:val="003A528B"/>
    <w:rsid w:val="003A6FE5"/>
    <w:rsid w:val="003D40F9"/>
    <w:rsid w:val="003E3293"/>
    <w:rsid w:val="003E673D"/>
    <w:rsid w:val="003F507E"/>
    <w:rsid w:val="003F6045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84E60"/>
    <w:rsid w:val="004A3491"/>
    <w:rsid w:val="004A4228"/>
    <w:rsid w:val="004C2A51"/>
    <w:rsid w:val="004C35B0"/>
    <w:rsid w:val="004E4AE0"/>
    <w:rsid w:val="004F2523"/>
    <w:rsid w:val="004F5BB3"/>
    <w:rsid w:val="004F5CC5"/>
    <w:rsid w:val="005030DD"/>
    <w:rsid w:val="00505518"/>
    <w:rsid w:val="00515414"/>
    <w:rsid w:val="0051750D"/>
    <w:rsid w:val="00520669"/>
    <w:rsid w:val="005218F6"/>
    <w:rsid w:val="00526BFB"/>
    <w:rsid w:val="005279F6"/>
    <w:rsid w:val="00531B23"/>
    <w:rsid w:val="005354D4"/>
    <w:rsid w:val="00537367"/>
    <w:rsid w:val="00544501"/>
    <w:rsid w:val="0056035D"/>
    <w:rsid w:val="00565732"/>
    <w:rsid w:val="00570A4E"/>
    <w:rsid w:val="005962E2"/>
    <w:rsid w:val="0059728E"/>
    <w:rsid w:val="0059744F"/>
    <w:rsid w:val="005A04A1"/>
    <w:rsid w:val="005E1667"/>
    <w:rsid w:val="005E1B44"/>
    <w:rsid w:val="005F23E9"/>
    <w:rsid w:val="005F39BC"/>
    <w:rsid w:val="005F723C"/>
    <w:rsid w:val="00612EF1"/>
    <w:rsid w:val="00616A43"/>
    <w:rsid w:val="00622B2D"/>
    <w:rsid w:val="00627F29"/>
    <w:rsid w:val="00637472"/>
    <w:rsid w:val="006477F5"/>
    <w:rsid w:val="00663208"/>
    <w:rsid w:val="00664C08"/>
    <w:rsid w:val="00672094"/>
    <w:rsid w:val="006834EF"/>
    <w:rsid w:val="006A7316"/>
    <w:rsid w:val="006B0CCC"/>
    <w:rsid w:val="006C7169"/>
    <w:rsid w:val="006D70D5"/>
    <w:rsid w:val="006F3423"/>
    <w:rsid w:val="00710E2E"/>
    <w:rsid w:val="007111B4"/>
    <w:rsid w:val="0071755D"/>
    <w:rsid w:val="00722816"/>
    <w:rsid w:val="00731F4F"/>
    <w:rsid w:val="00734B95"/>
    <w:rsid w:val="0074709C"/>
    <w:rsid w:val="007632F0"/>
    <w:rsid w:val="007819AB"/>
    <w:rsid w:val="007943C3"/>
    <w:rsid w:val="0079473B"/>
    <w:rsid w:val="007A33B5"/>
    <w:rsid w:val="007C4A2E"/>
    <w:rsid w:val="007D065C"/>
    <w:rsid w:val="007E0680"/>
    <w:rsid w:val="007E3EF0"/>
    <w:rsid w:val="007E54B1"/>
    <w:rsid w:val="007F4647"/>
    <w:rsid w:val="00803DF5"/>
    <w:rsid w:val="00807FE7"/>
    <w:rsid w:val="00810FB9"/>
    <w:rsid w:val="00820BB0"/>
    <w:rsid w:val="008227D7"/>
    <w:rsid w:val="00857807"/>
    <w:rsid w:val="0086565A"/>
    <w:rsid w:val="00880C80"/>
    <w:rsid w:val="008817E5"/>
    <w:rsid w:val="00891E0B"/>
    <w:rsid w:val="008928BD"/>
    <w:rsid w:val="008A4174"/>
    <w:rsid w:val="008A7AE2"/>
    <w:rsid w:val="008B0EB5"/>
    <w:rsid w:val="008B241B"/>
    <w:rsid w:val="008C1D02"/>
    <w:rsid w:val="008D3E4B"/>
    <w:rsid w:val="008F2FE9"/>
    <w:rsid w:val="00915317"/>
    <w:rsid w:val="00915418"/>
    <w:rsid w:val="00917E75"/>
    <w:rsid w:val="009211AC"/>
    <w:rsid w:val="009212C8"/>
    <w:rsid w:val="00953FE9"/>
    <w:rsid w:val="0097108C"/>
    <w:rsid w:val="009731D5"/>
    <w:rsid w:val="009767C2"/>
    <w:rsid w:val="00987A9D"/>
    <w:rsid w:val="009B00F0"/>
    <w:rsid w:val="009B25E0"/>
    <w:rsid w:val="009C32F3"/>
    <w:rsid w:val="009F2E8C"/>
    <w:rsid w:val="009F72F5"/>
    <w:rsid w:val="00A15F81"/>
    <w:rsid w:val="00A26265"/>
    <w:rsid w:val="00A30D76"/>
    <w:rsid w:val="00A31C87"/>
    <w:rsid w:val="00A42CCA"/>
    <w:rsid w:val="00A46B5E"/>
    <w:rsid w:val="00A55AD2"/>
    <w:rsid w:val="00A561BE"/>
    <w:rsid w:val="00A62F61"/>
    <w:rsid w:val="00A70D5A"/>
    <w:rsid w:val="00A71C41"/>
    <w:rsid w:val="00A9108D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42F59"/>
    <w:rsid w:val="00B431C6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C107A0"/>
    <w:rsid w:val="00C31C4B"/>
    <w:rsid w:val="00C35D61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55E1"/>
    <w:rsid w:val="00CF11A5"/>
    <w:rsid w:val="00CF279F"/>
    <w:rsid w:val="00D027B6"/>
    <w:rsid w:val="00D21944"/>
    <w:rsid w:val="00D31E46"/>
    <w:rsid w:val="00D5312A"/>
    <w:rsid w:val="00D57FA5"/>
    <w:rsid w:val="00D90FD0"/>
    <w:rsid w:val="00D96D24"/>
    <w:rsid w:val="00DA7B8D"/>
    <w:rsid w:val="00DB002C"/>
    <w:rsid w:val="00DC0355"/>
    <w:rsid w:val="00DC0B68"/>
    <w:rsid w:val="00DC75BB"/>
    <w:rsid w:val="00DD1D96"/>
    <w:rsid w:val="00DD7E70"/>
    <w:rsid w:val="00DF1310"/>
    <w:rsid w:val="00DF458B"/>
    <w:rsid w:val="00DF735B"/>
    <w:rsid w:val="00DF74CC"/>
    <w:rsid w:val="00E3531E"/>
    <w:rsid w:val="00E52DC2"/>
    <w:rsid w:val="00E5613C"/>
    <w:rsid w:val="00E61A03"/>
    <w:rsid w:val="00E61E34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C0BB9"/>
    <w:rsid w:val="00EE6949"/>
    <w:rsid w:val="00EE7F9F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29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731E-AF7D-4782-BEF8-7714C231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10990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Конченко Лариса Александровна</cp:lastModifiedBy>
  <cp:revision>2</cp:revision>
  <cp:lastPrinted>2018-02-08T08:33:00Z</cp:lastPrinted>
  <dcterms:created xsi:type="dcterms:W3CDTF">2018-02-14T08:59:00Z</dcterms:created>
  <dcterms:modified xsi:type="dcterms:W3CDTF">2018-02-14T08:59:00Z</dcterms:modified>
</cp:coreProperties>
</file>